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 Unicode MS"/>
          <w:cap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both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OSOBNE DO R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both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RNE !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both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áž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 gener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lny prokur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tor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both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Dr.h.c. JUDr. Maro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 Ž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ilinka, PhD.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48" w:firstLine="708"/>
        <w:jc w:val="both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Gener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lna prokurat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ra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48" w:firstLine="708"/>
        <w:jc w:val="both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Slovenskej republiky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956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rova 2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48" w:firstLine="708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812 85 Bratislava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 Prievidzi, d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31.10.2021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cap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ozn</w:t>
      </w: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menie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124" w:hanging="2124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124" w:hanging="2124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Oznamovate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/ka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124" w:hanging="2124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po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koden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Ing. Eva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Nahnevan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nar. 24.3.1972</w:t>
      </w:r>
      <w:r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, Sl</w:t>
      </w:r>
      <w:r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vikova 73/5,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971 01 Prievidza, ob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ianka SR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mto pod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196 ods. 1 z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 301/2005 Z. z. Trestn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poriadku pod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vam 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ozn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menie pre sp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chanie :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0"/>
          <w:numId w:val="2"/>
        </w:numPr>
        <w:spacing w:line="276" w:lineRule="auto"/>
        <w:jc w:val="both"/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obzvl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ášť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zlo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inu 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tlaku pod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192 ods. 1, odst. 2 p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b) s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poukazom na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139 ods. 1 p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e) z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300/2005 Z. z. Trestn</w:t>
      </w:r>
      <w:r>
        <w:rPr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</w:t>
      </w:r>
    </w:p>
    <w:p w:rsidR="00EF4BEB" w:rsidRDefault="00EF4B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8" w:firstLine="60"/>
        <w:jc w:val="both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eastAsia="Arial" w:hAnsi="Arial" w:cs="Arial"/>
          <w:b/>
          <w:bCs/>
          <w:caps/>
          <w:color w:val="000000"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O D </w:t>
      </w: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ô </w:t>
      </w:r>
      <w:r>
        <w:rPr>
          <w:rFonts w:ascii="Arial" w:hAnsi="Arial" w:cs="Arial Unicode MS"/>
          <w:b/>
          <w:bCs/>
          <w:caps/>
          <w:color w:val="000000"/>
          <w:sz w:val="28"/>
          <w:szCs w:val="28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 O D N E N I E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Skutkov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stav: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Predmetom m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jho trestn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ozn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menia je konanie ved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cej predajne LIDL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abokreky v Prievidzi p. XY /ak vedia meno, treba uvies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(vi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videoz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znam dan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protipr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vneho konania zo d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XX.10.2021 o 00:00 hod. vo vn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torn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 priestoroch predajne</w:t>
      </w:r>
      <w:r>
        <w:rPr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4BEB" w:rsidRDefault="00AE31E1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XX.10.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2021 o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00.00 hod. ved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ca predajne LIDL 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abokreky v Prievidzi robila na m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n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tlak na nasadenie r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ka/respir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tora pod sankciou odopretia predaja tovaru.</w:t>
      </w:r>
    </w:p>
    <w:p w:rsidR="00EF4BEB" w:rsidRDefault="00AE31E1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Tvrd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 vy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adovan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 nasadenia respir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tora/r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 na prekrytie d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:shd w:val="clear" w:color="auto" w:fill="FF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chac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ch ciest (z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konom  neulo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enej  povinnosti) do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lo k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chaniu nasledovn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ho deliktu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P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rotipr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vnym konan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sa ved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ca predajne dopustila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tlaku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 mojej osobe t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mi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zabr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nila dokon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kupn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proces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hradou platby za tovar v pokladni.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Tak mne ako aj ostatn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nakupuj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cim, 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boli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bez prekrytia 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chac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 ciest povedala,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ak si nasad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 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ko/respir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tor na tv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r, m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eme dokon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kup a opusti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predaj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u.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 tak neurob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nebude 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umo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nak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tovar a bude zavolan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hliadka OO PZ SR, 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bude situ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ciu rie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 poz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cie silovej zlo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tu.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 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rozp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sa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bli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žš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ie cel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udalos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Fonts w:ascii="Arial" w:hAnsi="Arial" w:cs="Arial Unicode MS"/>
          <w:color w:val="EE220C"/>
          <w:u w:color="000000"/>
          <w14:textOutline w14:w="0" w14:cap="flat" w14:cmpd="sng" w14:algn="ctr">
            <w14:noFill/>
            <w14:prstDash w14:val="solid"/>
            <w14:bevel/>
          </w14:textOutline>
        </w:rPr>
        <w:t>, ja to potom gramaticky poupravujem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 stav: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II.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l. 1 ods. 1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stavy SR: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Slovensk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republika je zvrchovan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demokratick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pr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vny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t. Nevia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 sa na nijak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ideol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giu ani n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bo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enstvo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 2 ods. 2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 SR: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„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tne org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ny m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 kona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iba na z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klade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stavy, v jej medziach a v rozsahu a sp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sobom, ktor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ustanov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 2 ods. 3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 SR: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kona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 nie je z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 zak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zan</w:t>
      </w:r>
      <w:r>
        <w:rPr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a nikoho nemo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n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aby konal nie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o,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 z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 neuklad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49494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l. 12 ods. 4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stavy SR: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Nikomu nesmie by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soben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ujma na pr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vach pre to,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 uplat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uje svoje z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va a slobody.</w:t>
      </w:r>
      <w:r>
        <w:rPr>
          <w:rFonts w:ascii="Arial Unicode MS" w:hAnsi="Arial Unicode MS" w:cs="Arial Unicode MS"/>
          <w:color w:val="000000"/>
          <w:u w:color="494949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49494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49494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 13 ods. 1 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stavy SR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povinnosti mo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 uklada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sm. a) 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 alebo na z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klade z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v jeho medziach a pri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zachovan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a slob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d,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sm. b) 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medzin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rodnou zmluvou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l. 7 ods. 4, ktor</w:t>
      </w:r>
      <w:r>
        <w:rPr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priamo zaklad</w:t>
      </w:r>
      <w:r>
        <w:rPr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 a povinnosti fyzick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os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 alebo pr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vnick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os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b, alebo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sm. c) 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nariaden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vl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 pod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l. 120 ods. 2</w:t>
      </w:r>
      <w:r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l. 13 ods. 2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stavy SR: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Medze z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 a slob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 mo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upravi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za podmienok ustanoven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ch touto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stavou len z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konom, pri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om povinnosti mo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uklada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konom alebo na z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klade z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kona, v jeho medziach a pri zachovan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 a slob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l. 23 ods. 1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stavy SR: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Sloboda pohybu a pobytu sa zaru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uje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 Unicode MS" w:hAnsi="Arial Unicode MS" w:cs="Arial Unicode MS"/>
          <w:color w:val="000000"/>
          <w:u w:color="000000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outlineLvl w:val="0"/>
        <w:rPr>
          <w:rFonts w:ascii="Arial" w:eastAsia="Arial" w:hAnsi="Arial" w:cs="Arial"/>
          <w:color w:val="000000"/>
          <w:kern w:val="36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l. 7 ods. 2 p</w:t>
      </w:r>
      <w:r>
        <w:rPr>
          <w:rFonts w:ascii="Arial" w:hAnsi="Arial" w:cs="Arial Unicode MS"/>
          <w:b/>
          <w:bCs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b/>
          <w:bCs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sm. a) 333/2002 Z.z. 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ozn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menia Ministerstva zahrani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 vec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Slovenskej republiky o prijat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mskeho 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tat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tu Medzin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rodn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trestn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du: </w:t>
      </w:r>
      <w:r>
        <w:rPr>
          <w:rFonts w:ascii="Arial" w:hAnsi="Arial" w:cs="Arial Unicode MS"/>
          <w:color w:val="000000"/>
          <w:kern w:val="36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tok namieren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proti ak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muko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vek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civiln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mu obyvate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stvu" znamen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konanie, v ktor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ho priebehu doch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dza k opakovan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mu p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ch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aniu 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inov uveden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ch v odseku 1 proti ak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muko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vek civiln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mu obyvate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stvu v s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lade so 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tnou alebo s organiza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nou politikou uskuto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čň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ovania alebo podporovania t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chto 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tokov</w:t>
      </w:r>
      <w:r>
        <w:rPr>
          <w:rFonts w:ascii="Arial" w:hAnsi="Arial" w:cs="Arial Unicode MS"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rial" w:hAnsi="Arial" w:cs="Arial Unicode MS"/>
          <w:color w:val="000000"/>
          <w:kern w:val="36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l. 16 ods. 1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stavy SR: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Nedotknute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osoby a jej s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kromia je zaru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 Obmedzen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 by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len v pr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padoch ustanoven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ch z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konom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 Unicode MS" w:hAnsi="Arial Unicode MS" w:cs="Arial Unicode MS"/>
          <w:color w:val="000000"/>
          <w:u w:color="000000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olor w:val="000000"/>
          <w:u w:color="494949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4 ods. 3 Z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k.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400/2015 Z.z.: </w:t>
      </w: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Vykon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vac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 pr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vnym predpisom nemo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no uklada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povinnosti, meni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alebo dop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ĺň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vnu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pravu nad r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mec z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kona alebo upravova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spolo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ensk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vz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ahy v z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kone neupraven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; to neplat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, ak ide o nariadenie vl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dy pod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rial" w:hAnsi="Arial" w:cs="Arial Unicode MS"/>
          <w:i/>
          <w:iCs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hyperlink r:id="rId7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č</w:t>
        </w:r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 xml:space="preserve">l. 120 ods. 2 </w:t>
        </w:r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ú</w:t>
        </w:r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stavy</w:t>
        </w:r>
      </w:hyperlink>
      <w:r>
        <w:rPr>
          <w:rStyle w:val="iadne"/>
          <w:rFonts w:ascii="Arial" w:hAnsi="Arial" w:cs="Arial Unicode MS"/>
          <w:color w:val="000000"/>
          <w:u w:color="000000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color w:val="000000"/>
          <w:u w:color="494949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olor w:val="000000"/>
          <w:u w:color="494949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§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5 ods. 2 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k.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400/2015 Z.z.: </w:t>
      </w:r>
      <w:r>
        <w:rPr>
          <w:rStyle w:val="iadne"/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 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vrh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predpoklad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vydanie vykon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vacieho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vneho predpisu, mus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obsahova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splnomocnenie na jeho vydanie; to neplat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ak vykon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vac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vnym predpisom j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nariadenie vl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dy. Splnomoc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ovacie ustanovenie sa mus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formulova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tak, aby z jeho znenia jednozna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 vypl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valo, kto je splnomocnen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vydanie vykon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vacieho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vneho predpisu, ak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skuto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 a v akom rozsahu sa maj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 upravi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pri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 sa db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zabezpe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enie 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ladu vykon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vacieho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vneho predpisu so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konom. Ak sa predpoklad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vyda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vykonanie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nariadenie vl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dy, mo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 to v 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vrhu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slovne uvies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lez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 Slovenskej republiky zo 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 10.1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2.2014 sp. zn. PL.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 10/2013</w:t>
      </w:r>
      <w:r>
        <w:rPr>
          <w:rStyle w:val="iadne"/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... samotn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povinnos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 ulo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uznan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 prame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om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va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jednak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konom alebo tak m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 urobi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klade 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slovn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ho splnomocnenia aj podz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vny predpis (vykon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vac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vny predpis), ktor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sa bude pohybova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 medziach tohto splnomocnenia.</w:t>
      </w:r>
      <w:r>
        <w:rPr>
          <w:rStyle w:val="iadne"/>
          <w:rFonts w:ascii="Arial Unicode MS" w:hAnsi="Arial Unicode MS" w:cs="Arial Unicode MS"/>
          <w:color w:val="000000"/>
          <w:u w:color="000000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tabs>
          <w:tab w:val="left" w:pos="33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Uznesenie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du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Slovenskej republiky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zo 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24.9.2020 sp. zn. II.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 411/2020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Aj napriek normat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vnemu prvku, opatrenie 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povahou hybridn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vneho aktu nie je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 normou, 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teda ani nem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by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vnym predpisom.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 preto neobsahuje vo svojom texte osobitn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splnomoc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ovacie (delega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 ustanovenie na jeho vydanie, ktor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nevyhnutn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pri podz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vnych predpiso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ch.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§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14 ods. 1Tr. 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kona - pokus trestn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inu: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Pokus trestn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inu je konanie, ktor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bezprostredne smeruje k dokonaniu trestn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inu, ktor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sa p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dopustil v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mysle sp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 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in, ak nedo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 k dokonaniu trestn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inu.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Ani uznesen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vl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dy, ani vyhl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kou ak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hoko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vek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radu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navy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nie je ani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stredn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org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nom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tnej spr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vy,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ako napr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klad aj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 verejn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ctva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nemo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 obmedzova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/zakazova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uplat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ovanie 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a slob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garantovan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ob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anom a obyvate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om nielen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stavou Slov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enskej republiky, ale aj medzin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rodn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zmluvami, 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je Slovensk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republika viazan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maj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prednos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 na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imi 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konmi. 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Gener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lny prokur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tor  Slovenskej republiky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ilinka vo svojom   podan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 z 18. marca 2021, sp. zn. 1G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 39/20/1000-2,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expressis verbis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kon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tatoval,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vyd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vanie vyhl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ok, ako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eobecn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vnych predpisov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vyhlasovan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 iba vo Vestn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ku vl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dy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radom verejn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ctva Slovenskej republiky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(iba rozpo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tovou organiz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ciou ministerstva), 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sa 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sadne zasahuje do 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a slob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 bez ak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hoko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vek legislat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vneho procesu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v pr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vnom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 neprijate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Calibri" w:eastAsia="Calibri" w:hAnsi="Calibri" w:cs="Calibri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Obsah vyhl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ok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 nie je zverej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Zbierke 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konov SR,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ale je zverej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ovan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iba vo Vestn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ku vl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dy SR,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 nie je prame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>va so 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eobecnou platnos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ou.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Vestn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nl-NL"/>
          <w14:textOutline w14:w="0" w14:cap="flat" w14:cmpd="sng" w14:algn="ctr">
            <w14:noFill/>
            <w14:prstDash w14:val="solid"/>
            <w14:bevel/>
          </w14:textOutline>
        </w:rPr>
        <w:t>k vl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dy SR je toti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vny in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tit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t, ktor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ce je v 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>kone pomenovan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, av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ak v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kone nie je 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le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ite pr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vne definovan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, na rozdiel od 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le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ite pr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vne upraven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ho pr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vneh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o in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tit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tu Zbierky 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konov SR (z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kon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. 400/2015 Z. z.)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line="288" w:lineRule="auto"/>
        <w:ind w:firstLine="708"/>
        <w:jc w:val="both"/>
        <w:rPr>
          <w:rStyle w:val="iadne"/>
          <w:rFonts w:ascii="Calibri" w:eastAsia="Calibri" w:hAnsi="Calibri" w:cs="Calibri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Vestn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:lang w:val="nl-NL"/>
          <w14:textOutline w14:w="0" w14:cap="flat" w14:cmpd="sng" w14:algn="ctr">
            <w14:noFill/>
            <w14:prstDash w14:val="solid"/>
            <w14:bevel/>
          </w14:textOutline>
        </w:rPr>
        <w:t>k vl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dy SR preto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zav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zuje len adres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tov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vo vn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tri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tnej spr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vy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a pri Vestn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ku vl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dy SR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neplat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tak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(z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prava, ako u Zbierky z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konov SR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, t. j. v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pade Vestn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ka vl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dy SR sa neuplat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uje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konne ustanoven</w:t>
      </w:r>
      <w:r>
        <w:rPr>
          <w:rStyle w:val="iadne"/>
          <w:rFonts w:ascii="Arial" w:hAnsi="Arial" w:cs="Arial Unicode MS"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vna domnienka o znalosti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vnych predpisov pod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>15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 400/2015 Z. z., ktor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ustanovuje: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>O v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etkom,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o bolo v zbierke 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konov vyhl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sen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 sa m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za to,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e d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om vyhl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senia sa stalo zn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mym ka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mu, koho sa to t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Calibri" w:eastAsia="Calibri" w:hAnsi="Calibri" w:cs="Calibri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Calibri" w:eastAsia="Calibri" w:hAnsi="Calibri" w:cs="Calibri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 zmysle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§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15 z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. 400/2015 Z. z. sa preto na pr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vne subjekty vz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ahuje iba pr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vna domnienka o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znalosti toho,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 vyhl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VZ sa vyhlasuj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vo Vestn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ku vl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dy SR, av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ak v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sade u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neplat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 by sa na pr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vne subjekty vz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ahovala pr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vna domnienka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 znalosti obsahu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vyhl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ok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VZ, preto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kon tak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to pr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vnu domnienku oh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adne Vestn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ka vl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dy SR neustanovuje</w:t>
      </w:r>
      <w:r>
        <w:rPr>
          <w:rStyle w:val="iadne"/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Calibri" w:eastAsia="Calibri" w:hAnsi="Calibri" w:cs="Calibri"/>
          <w:b/>
          <w:bCs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line="288" w:lineRule="auto"/>
        <w:ind w:firstLine="708"/>
        <w:jc w:val="both"/>
        <w:rPr>
          <w:rStyle w:val="iadne"/>
          <w:rFonts w:ascii="Arial" w:eastAsia="Arial" w:hAnsi="Arial" w:cs="Arial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stava SR neprip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úšť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a, aby spr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vny org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 pomocou podz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ho predpisu skon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>truoval tak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vnu povinnos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, ktor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kon po obsahovej str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nke nepozn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(t. j. ak obsahov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mec povinnosti nie je definovan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ani v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stavnom 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ani v be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nom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kone).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line="288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Pokia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sa jedn</w:t>
      </w:r>
      <w:r>
        <w:rPr>
          <w:rStyle w:val="iadne"/>
          <w:rFonts w:ascii="Arial" w:hAnsi="Arial" w:cs="Arial Unicode MS"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to,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i plnen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vyhl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color w:val="2D3748"/>
          <w:u w:color="2D3748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ok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VZ ide o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plnenie z</w:t>
      </w:r>
      <w:r>
        <w:rPr>
          <w:rStyle w:val="iadne"/>
          <w:rFonts w:ascii="Arial" w:hAnsi="Arial" w:cs="Arial Unicode MS"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konnej povinnosti, treba uvies</w:t>
      </w:r>
      <w:r>
        <w:rPr>
          <w:rStyle w:val="iadne"/>
          <w:rFonts w:ascii="Arial" w:hAnsi="Arial" w:cs="Arial Unicode MS"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len 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pade,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ak z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kon tak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to povinnos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slovne definuje po obsahovej str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nke. Ak nejak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povinnos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 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ch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predpisoch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seku zdravotn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ctva,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kolstva alebo aj 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in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vnych oblastiach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 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neexistuje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Style w:val="iadne"/>
          <w:rFonts w:ascii="Arial" w:hAnsi="Arial" w:cs="Arial Unicode MS"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nie je obsahovo ustanoven</w:t>
      </w:r>
      <w:r>
        <w:rPr>
          <w:rStyle w:val="iadne"/>
          <w:rFonts w:ascii="Arial" w:hAnsi="Arial" w:cs="Arial Unicode MS"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stavne nemo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é „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ť“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ju tam na z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klade ak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chsi podz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ch predpisov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, t. j.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predpisov ni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žš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ej pr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vnej sily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ok, ktor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naviac ani nie s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zverej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ovan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Zbierke z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konov SR.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line="288" w:lineRule="auto"/>
        <w:ind w:firstLine="708"/>
        <w:jc w:val="both"/>
        <w:rPr>
          <w:rFonts w:ascii="Arial" w:eastAsia="Arial" w:hAnsi="Arial" w:cs="Arial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Ukladanie pr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vnej povinnosti nosi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 resp. respir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tor iba vyhl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kou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radu verejn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ctva Slovenskej republiky je v pr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vnom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 neprij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ate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ne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Style w:val="iadne"/>
          <w:rFonts w:eastAsia="Times New Roman"/>
          <w:b/>
          <w:bCs/>
          <w:color w:val="000000"/>
          <w:u w:val="single"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Style w:val="iadne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Platnos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ok 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radu verejn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ctva z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in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ho uhla poh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kern w:val="36"/>
          <w:u w:color="000000"/>
          <w14:textOutline w14:w="0" w14:cap="flat" w14:cmpd="sng" w14:algn="ctr">
            <w14:noFill/>
            <w14:prstDash w14:val="solid"/>
            <w14:bevel/>
          </w14:textOutline>
        </w:rPr>
        <w:t>adu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rPr>
          <w:rStyle w:val="iadne"/>
          <w:rFonts w:ascii="Arial" w:eastAsia="Arial" w:hAnsi="Arial" w:cs="Arial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om 15.m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ja 2021 bol zru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dzov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stav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je teda ist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 vyhl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VZ neplatia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ak na inom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vnom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klade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numPr>
          <w:ilvl w:val="0"/>
          <w:numId w:val="5"/>
        </w:numPr>
        <w:spacing w:before="100" w:after="100"/>
        <w:jc w:val="both"/>
        <w:rPr>
          <w:rFonts w:ascii="Arial" w:hAnsi="Arial" w:cs="Arial Unicode MS"/>
          <w:color w:val="2D374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me publikovan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é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Uznesenie vl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dy SR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 111/2020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(ktor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ho platnos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dosah na subjekty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va je minim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lne pochybn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) 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na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klade neho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sen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mimoriadnu situ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ciu 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vislosti 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>ohrozen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verejn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ho zdra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via II. stup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(stupe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je mimoriadne 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le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faktor).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ind w:firstLine="360"/>
        <w:rPr>
          <w:rStyle w:val="iadne"/>
          <w:rFonts w:ascii="Arial" w:eastAsia="Arial" w:hAnsi="Arial" w:cs="Arial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toho vypl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va?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ind w:firstLine="360"/>
        <w:rPr>
          <w:rStyle w:val="iadne"/>
          <w:rFonts w:ascii="Arial" w:eastAsia="Arial" w:hAnsi="Arial" w:cs="Arial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Existuj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len 2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stupy k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kladu a jeden kombinovan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numPr>
          <w:ilvl w:val="0"/>
          <w:numId w:val="7"/>
        </w:numPr>
        <w:spacing w:before="100" w:after="100"/>
        <w:jc w:val="both"/>
        <w:rPr>
          <w:rFonts w:ascii="Arial" w:hAnsi="Arial" w:cs="Arial Unicode MS"/>
          <w:color w:val="2D374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Bu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plat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Uznesenie vl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dy SR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 111/2020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alej aj uznesenie)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plat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takom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pade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rad verejn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ctva (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alej aj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VZ)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nie je kompetentn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org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nom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>naria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ova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opatrenia 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zmysle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lohy C.1 tohto uznesenia,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lebo nie je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stredn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org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nom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tnej spr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vy pod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 kompeten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kona, alebo</w:t>
      </w:r>
    </w:p>
    <w:p w:rsidR="00EF4BEB" w:rsidRDefault="00AE31E1">
      <w:pPr>
        <w:numPr>
          <w:ilvl w:val="0"/>
          <w:numId w:val="7"/>
        </w:numPr>
        <w:spacing w:before="100" w:after="100"/>
        <w:jc w:val="both"/>
        <w:rPr>
          <w:rFonts w:ascii="Arial" w:hAnsi="Arial" w:cs="Arial Unicode MS"/>
          <w:color w:val="2D374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uznesenie vl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dy SR neplat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nie je 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p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dom vyhl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sen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mimoriadna situ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cia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im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plicitne nie je dan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vny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klad na vyd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vanie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>IADNYCH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opatren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numPr>
          <w:ilvl w:val="0"/>
          <w:numId w:val="7"/>
        </w:numPr>
        <w:spacing w:before="100" w:after="100"/>
        <w:jc w:val="both"/>
        <w:rPr>
          <w:rFonts w:ascii="Arial" w:hAnsi="Arial" w:cs="Arial Unicode MS"/>
          <w:color w:val="2D374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Teoreticky je mo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aj situ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cia,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uznesenie plat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obmedzene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, t.j. len pre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sek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tnej spr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vy, t.j. nie je 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 v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sade nijako nemen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sledok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sudku, lebo ned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va kompetenciu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VZ SR 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rove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os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va zachovan</w:t>
      </w:r>
      <w:r>
        <w:rPr>
          <w:rStyle w:val="iadne"/>
          <w:rFonts w:ascii="Arial" w:hAnsi="Arial" w:cs="Arial Unicode MS"/>
          <w:color w:val="2D3748"/>
          <w:u w:color="2D3748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spornos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 bodu 2.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ind w:firstLine="708"/>
        <w:rPr>
          <w:rStyle w:val="iadne"/>
          <w:rFonts w:ascii="Arial" w:eastAsia="Arial" w:hAnsi="Arial" w:cs="Arial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s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vy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erpan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etky aktu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lne mo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nosti.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ind w:firstLine="708"/>
        <w:jc w:val="both"/>
        <w:rPr>
          <w:rStyle w:val="iadne"/>
          <w:rFonts w:ascii="Arial" w:eastAsia="Arial" w:hAnsi="Arial" w:cs="Arial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y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radu verejn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ctva nemo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no vynucova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Maj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nanajv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ýš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odpor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ac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charakter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VZ ich vyd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 nepochybne prekra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uje svoje kompetencie. 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ich vynucovanie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 bez 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vneho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kladu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subjektami ako 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 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koly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, zamestn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vatelia, obchody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 znamena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konanie, ktor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je pr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vne nedovolen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e d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js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sankcionovaniu subjektov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, ktor</w:t>
      </w:r>
      <w:r>
        <w:rPr>
          <w:rStyle w:val="iadne"/>
          <w:rFonts w:ascii="Arial" w:hAnsi="Arial" w:cs="Arial Unicode MS"/>
          <w:color w:val="2D3748"/>
          <w:u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ich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vynucuj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14:textOutline w14:w="0" w14:cap="flat" w14:cmpd="sng" w14:algn="ctr">
            <w14:noFill/>
            <w14:prstDash w14:val="solid"/>
            <w14:bevel/>
          </w14:textOutline>
        </w:rPr>
        <w:t>ako povinn</w:t>
      </w:r>
      <w:r>
        <w:rPr>
          <w:rStyle w:val="iadne"/>
          <w:rFonts w:ascii="Arial" w:hAnsi="Arial" w:cs="Arial Unicode MS"/>
          <w:b/>
          <w:bCs/>
          <w:color w:val="2D3748"/>
          <w:u w:val="single" w:color="2D3748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. A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 xml:space="preserve">to spravidla na 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seku z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:lang w:val="de-DE"/>
          <w14:textOutline w14:w="0" w14:cap="flat" w14:cmpd="sng" w14:algn="ctr">
            <w14:noFill/>
            <w14:prstDash w14:val="solid"/>
            <w14:bevel/>
          </w14:textOutline>
        </w:rPr>
        <w:t>kazu diskrimin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cie, alebo aj v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trestnopr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vnej rovine (napr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2D3748"/>
          <w:u w:color="2D3748"/>
          <w14:textOutline w14:w="0" w14:cap="flat" w14:cmpd="sng" w14:algn="ctr">
            <w14:noFill/>
            <w14:prstDash w14:val="solid"/>
            <w14:bevel/>
          </w14:textOutline>
        </w:rPr>
        <w:t>klad obmedzovanie osobnej slobody).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rPr>
          <w:rStyle w:val="iadne"/>
          <w:rFonts w:ascii="Arial" w:eastAsia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iadne"/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192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tlak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(1) Kto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 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ti, aby nie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 konal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opomenul alebo trpel, zneu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 jeho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hmotn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dzu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alebo naliehav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nemajetkov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potrebu, alebo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tiese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vyvolan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jeho nepriazniv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 osobn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 pomermi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potrest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sa od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slobody 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 tri roky.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(2) Od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slobody na jeden rok 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äť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rokov sa 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potrest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ak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cha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 uveden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 odseku 1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a) z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nej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sobom konania,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b) na chr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nenej osobe,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c) z osobitn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 mot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vu,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d) v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mysle z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ska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pre seba alebo pre in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äčší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majetkov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prospech alebo in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prospech, alebo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e) 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m,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 odopiera zamestnancovi v pracovnom alebo inom obdobnom pracovnom vz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ahu pr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vo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 zaistenie bezpe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 zdravia pri pr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ci, na dovolenku na zotavenie alebo na poskytnutie z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 zaru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 osobitn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pracovn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 podmienok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a mladistv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zamestnancom.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(3) Od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slobody na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tyri roky 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desa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rokov sa 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potrest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ak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cha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 uveden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 odseku 1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a) a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sob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ujmu na zdrav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alebo smr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alebo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b) a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sob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zna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ú 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kodu.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(4) Od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slobody na desa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rokov 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dvadsa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äť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rokov alebo trestom od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atia slobody na do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ivotie sa 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potrest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ak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cha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 uveden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 odseku 1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a) a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sob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kodu ve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 rozsahu,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b) a sp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sob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 smr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viacer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 os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b,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c) ako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len nebezpe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zoskupenia, alebo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d) za kr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zovej situ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cie.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ap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Ivora et al. (2017) sa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ties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ou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rozumie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stav, hoci aj prechodn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vyvolan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nepriazniv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okolnos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ami,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sledku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oho je po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koden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obmedzen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slobode rozhodovania sa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in je dokonan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, ke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vykon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konanie, ktor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obsahom je 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tenie 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ho, aby nie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 konal, opomenul alebo trpel zneu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 uveden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situ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cie. Nevy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aduje sa, aby utl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osoba konala, 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pomenula alebo trpela to, 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omu ju p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til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eastAsia="Arial" w:hAnsi="Arial" w:cs="Arial"/>
          <w:i/>
          <w:i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2"/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Ivora et al. (2010):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Aj ke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ď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koden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nevykon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to,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 na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 p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vynucuje,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in je dokonan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donucovan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eastAsia="Arial" w:hAnsi="Arial" w:cs="Arial"/>
          <w:i/>
          <w:i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3"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 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je sp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chan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lade 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ustanoven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122 ods. 8 Trestn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kona)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tlaku vtedy, ak p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ije na jeho sp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chanie 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psychick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silie proti in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Uznesenie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Slovenskej republiky zo 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24.9.2020, sp. zn. II.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411/2020: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Aj napriek normat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vnemu prvku,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opatrenie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povahou hybridn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spr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vneho aktu nie je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vnou normou,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teda ani nem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by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vnym predpisom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.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 preto neobsahuje vo svojom texte osobitn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splnomoc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ovacie (delega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 ustanovenie na jeho vydanie, ktor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nevyhnutn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pri podz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vnych predpisoch.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lez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Slovenskej republiky zo 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10.12.2014, sp. zn. PL.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10/2013: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„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(...) samotn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 ulo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uznan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 prame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om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va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jednak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konom alebo tak 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urobi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na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klade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slovn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splnomocnenia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aj podz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 predpis (vykon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vac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 predpis), ktor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 bude pohybova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medziach tohto splnomocnenia.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r>
        <w:rPr>
          <w:rFonts w:ascii="Arial" w:hAnsi="Arial" w:cs="Arial Unicode MS"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osobnej slobody sa pod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Ivora (2017) rozumie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sah do 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vania osobnej slobody, ktor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 sa znemo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uje alebo obmedzuje vo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pohyb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loveka,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rove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sa mu br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ni 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svojom pohybe slobodne rozhodova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Konanie p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mus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neopr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resp. bez opr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vnenia.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pozbavenie osobnej slobody mus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by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j. mus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vykonan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lade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ustanoven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III.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 204/02.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S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loboda ka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loveka, teda i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toho, koho sloboda pohybu je na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klade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obmedzen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ak obmedzovanie prekra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uje dovolen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mieru. Objekt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vna str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nka spo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čí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 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tom,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p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chate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br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ni 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mu 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slobodu pohybu, hoci iba na kr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tku dobu, ak je br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nenie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 prekonate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lez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Slovensk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ej republiky zo 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20.5.2009, sp. zn. PL.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17/08: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Materi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lny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vny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 sa nezaklad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na zdanlivom dodr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va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 na form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lnom re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pektovan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jeho obsahu sp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sobom, ktor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predstiera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lad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vne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znamn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 skuto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nost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vnym poriadkom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Podstata materi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lneho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vneho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tu spo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uv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va do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ladu so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 hodnotami demokraticky usporiadanej spolo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sledne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slednom uplat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ovan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platn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va bez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nimiek zalo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 na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elov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vodoch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4 odst.3) z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. 250/2007</w:t>
      </w:r>
      <w:r>
        <w:rPr>
          <w:rStyle w:val="iadne"/>
          <w:rFonts w:ascii="Arial" w:hAnsi="Arial" w:cs="Arial Unicode MS"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 xml:space="preserve"> Z.z. O ochrane spotrebite</w:t>
      </w:r>
      <w:r>
        <w:rPr>
          <w:rStyle w:val="iadne"/>
          <w:rFonts w:ascii="Arial" w:hAnsi="Arial" w:cs="Arial Unicode MS"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1C1E21"/>
          <w:u w:color="1C1E21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 je povinn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 vz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ahu k spotrebite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ovi dodr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sadu rovnak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zaobch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nia v poskytovan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robkov a slu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ieb ustanoven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osobitn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predpisom.</w:t>
      </w:r>
      <w:r>
        <w:rPr>
          <w:rStyle w:val="iadne"/>
          <w:rFonts w:ascii="Arial" w:hAnsi="Arial" w:cs="Arial Unicode MS"/>
          <w:b/>
          <w:bCs/>
          <w:color w:val="05507A"/>
          <w:sz w:val="22"/>
          <w:szCs w:val="22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 nesmie odmietnu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spotrebite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ovi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robok, 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vystaven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alebo inak pripraven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predaj, alebo odmietnu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poskytnutie slu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by, ktor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v jeho prev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dzkov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mo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nostiach. Nesmie viaza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predaj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robku alebo poskytnutie slu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 (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alej len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viazanie predaja</w:t>
      </w:r>
      <w:r>
        <w:rPr>
          <w:rFonts w:ascii="Arial" w:hAnsi="Arial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 na predaj in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robku alebo na poskytnutie inej slu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by. To neplat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ak spotrebite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ľ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nesp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ĺň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podmienky na k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pu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osobitn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predpisov.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360"/>
        <w:jc w:val="both"/>
        <w:rPr>
          <w:rStyle w:val="iadne"/>
          <w:rFonts w:ascii="Arial" w:eastAsia="Arial" w:hAnsi="Arial" w:cs="Arial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ri odmietnut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prekry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si horn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chacie cesty prek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áž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kou v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:lang w:val="fr-FR"/>
          <w14:textOutline w14:w="0" w14:cap="flat" w14:cmpd="sng" w14:algn="ctr">
            <w14:noFill/>
            <w14:prstDash w14:val="solid"/>
            <w14:bevel/>
          </w14:textOutline>
        </w:rPr>
        <w:t>chan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plat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u w:color="494949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inak 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ktor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niekto odvracia priamo hroziaci alebo trvaj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ci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tok na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ujem chr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konom, nie je 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inom (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25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- 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Nut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obrana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Priestupkom pod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 ods. 2 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a)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372/1990 Z.z.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nie je konanie, ktor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 niekto primeran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 sp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sobom odvracia priamo hroziaci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tok na z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ujem chr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Tr. z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konom (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alej len </w:t>
      </w:r>
      <w:r>
        <w:rPr>
          <w:rStyle w:val="iadne"/>
          <w:rFonts w:ascii="Arial Unicode MS" w:hAnsi="Arial Unicode MS" w:cs="Arial Unicode MS"/>
          <w:color w:val="000000"/>
          <w:u w:val="single"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Tr. z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Ochrane zdravia ako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ujmu chr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 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va 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mec cel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II. diel  Prvej hlavy Druhej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asti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(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 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iny proti zdraviu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), cel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III. diel Prvej hlavy Druhej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asti Trestn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(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 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iny ohrozuj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ce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ivot alebo zdravie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420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 (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enie a in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alebo krut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zaob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dzanie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). Pritom plat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chanie bez prek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ok je samozrejmos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ou, ktor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 sprev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dzala od 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narodenia (v pr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ve plat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sada,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notoricky zn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me skuto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nosti sa nedokazu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ap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. Je v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eobecne zn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me,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nedostatok kysl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ka nielen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po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kodzuje zdravie, sp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sobuje  siln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tel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esn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alebo du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evn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utrpenie, ale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sp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sobi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aj smr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. Rovnako je v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eobecne zn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me,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 podmie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ovanie ak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hoko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vek konania obmedzen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 d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chania prostredn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ctvom vynucovan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prekrytia si horn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d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chac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 ciest prek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kou v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chan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je pova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ovan</w:t>
      </w:r>
      <w:r>
        <w:rPr>
          <w:rStyle w:val="iadne"/>
          <w:rFonts w:ascii="Arial" w:hAnsi="Arial" w:cs="Arial Unicode MS"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za mu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enie.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l.5 ods.1 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sm. b)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mskeho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tat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tu Medzin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rodn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trestn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do jurisdikcie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spadaj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 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iny proti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udskosti, pri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l.5 odst.1  </w:t>
      </w:r>
      <w:r>
        <w:rPr>
          <w:rStyle w:val="iadne"/>
          <w:rFonts w:ascii="Arial Unicode MS" w:hAnsi="Arial Unicode MS" w:cs="Arial Unicode MS"/>
          <w:cap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zlo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 proti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udskosti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vek z uveden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inov, ak bol sp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chan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ako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rozsiahleho alebo systematick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toku namieren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proti civiln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 obyvate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stvu s vedom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toku</w:t>
      </w:r>
      <w:r>
        <w:rPr>
          <w:rStyle w:val="iadne"/>
          <w:rFonts w:ascii="Arial" w:hAnsi="Arial" w:cs="Arial Unicode MS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je napr.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sm.f)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enie (pozri aj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420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kona),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j), trestn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 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 apartheidu (pozri aj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424a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 ) a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k)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ne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 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iny podobnej povahy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myselne sp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sobuj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 ve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utrpenie alebo v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 zranenie tela alebo po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kodenie du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fyzick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zdravia (pozri aj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425 Tr.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 ).</w:t>
      </w:r>
      <w:r>
        <w:rPr>
          <w:rStyle w:val="iadne"/>
          <w:rFonts w:ascii="Arial" w:hAnsi="Arial" w:cs="Arial Unicode MS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alej si dovo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ujem upozorni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e: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1"/>
          <w:numId w:val="9"/>
        </w:numPr>
        <w:spacing w:line="276" w:lineRule="auto"/>
        <w:jc w:val="both"/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enie zakazuje Eur</w:t>
      </w:r>
      <w:r>
        <w:rPr>
          <w:rStyle w:val="iadne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psky dohovor o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 pr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vach (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l.3) a aj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stava SR (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l. 16 ods.2).</w:t>
      </w:r>
    </w:p>
    <w:p w:rsidR="00EF4BEB" w:rsidRDefault="00AE31E1">
      <w:pPr>
        <w:numPr>
          <w:ilvl w:val="1"/>
          <w:numId w:val="9"/>
        </w:numPr>
        <w:spacing w:line="276" w:lineRule="auto"/>
        <w:jc w:val="both"/>
        <w:rPr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Pritom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 16 ods.1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 SR je zaru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nedotknute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 a jej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kromia, pri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om m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by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obmedzen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len v pr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padoch ustanoven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konom.</w:t>
      </w:r>
    </w:p>
    <w:p w:rsidR="00EF4BEB" w:rsidRDefault="00AE31E1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Rovnako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 2 ods.2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stavy SR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tne org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ny m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 kona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iba na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klade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stavy, v jej medziach a v rozsahu a sp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sobom, ktor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ustanov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kon.</w:t>
      </w:r>
    </w:p>
    <w:p w:rsidR="00EF4BEB" w:rsidRDefault="00AE31E1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 zmysle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l. 13 ods.2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 SR medze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a slob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 mo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 upravi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 podmienok ustanoven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ch touto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stavou len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konom. </w:t>
      </w:r>
    </w:p>
    <w:p w:rsidR="00EF4BEB" w:rsidRDefault="00AE31E1">
      <w:pPr>
        <w:numPr>
          <w:ilvl w:val="1"/>
          <w:numId w:val="9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 trvania vyhl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sen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dzov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stavu vl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dou m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obmedzi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nedotknute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 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jej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kromia aj vl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da 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 iba jej evaku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ciou na ur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miesto (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l. 5 odst. 3 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sm. a)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227/2002 Z.z.). Obmedzenie re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pektovania telesnej 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evnej nedotknute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 tak nie je uveden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ustanoven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dotknut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40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0"/>
          <w:numId w:val="11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Vyhl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ky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radu verejn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zdravotn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ctva Slovenskej repu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bliky, ktorou sa naria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uje povinnos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prekrytia horn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chac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ciest je vydan</w:t>
      </w:r>
      <w:r>
        <w:rPr>
          <w:rStyle w:val="iadne"/>
          <w:rFonts w:ascii="Arial" w:hAnsi="Arial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rozpore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ie uveden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 legislat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vnymi podmienkami. Navy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e: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poukazom na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1 ods. 1 Z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k.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 400/2015 Z.z.,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uznesenie vl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dy nie je v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vny predpis.</w:t>
      </w:r>
    </w:p>
    <w:p w:rsidR="00EF4BEB" w:rsidRDefault="00AE31E1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poukazom na te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riu pr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va ako aj Uznesenie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du Slovenskej republiky, zo d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18.5.2016, sp. zn. I.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 323/2016-46, Rozsudok Najvy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ieho s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du SR, zo d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 12.12.2018, sp. zn. 8 S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r 52/2016, 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vny akt trpiaci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nedostatkom pr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vnej formy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je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nulitn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4BEB" w:rsidRDefault="00AE31E1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poukazom na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l. 13 od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s. 1 p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sm. a),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l. 120 ods. 1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stavy SR, 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povinnosti mo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 uklada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konom alebo na 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klade z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kona, v jeho medziach a pri zachovan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 a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slob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d.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Uznesenie vl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dy nie je z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 a nem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eobecne z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charakter, kde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 vykonanie z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kona vl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 vyd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va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nariadenia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lez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du Slovenskej republiky zo 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11.3.1999, sp. zn. PL.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15/98: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vnom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te 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 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stava povahu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prame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va,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ktor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 nadraden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ostatn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 prame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om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va. Tento znak implikuje aj po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iadavku, aby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etky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 predpisy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 obsiahnut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alebo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 odvoden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 normy, verejnopr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 aj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kromnopr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vne, boli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lade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ustanoveniami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stavy.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jc w:val="both"/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Eur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pska komisia pre demokraciu prostredn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ctvom pr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zn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 pod 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zvom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tska komisia</w:t>
      </w:r>
      <w:r>
        <w:rPr>
          <w:rFonts w:ascii="Arial" w:hAnsi="Arial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alej len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tska komisia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 uviedla vo svojom Stanovisku k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ochrane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dzov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situ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roku 2020 (okrem in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ho) nasledovn</w:t>
      </w:r>
      <w:r>
        <w:rPr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z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sady v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nimo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nej hrozby je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odst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penie od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tandardov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dzov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situ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legit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mne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iba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pade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vojny alebo verejn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ohrozenia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tnej existencie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“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ruky by mali po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etci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bez diskrimin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cie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4"/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jc w:val="both"/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tska komisia uviedla 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roku 2020: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Obmedze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nia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slob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 (...) musia by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upraven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“ 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 predstavuje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ruku zachovania demokracie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vneho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tu.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5"/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jc w:val="both"/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asne Ben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tska komisia uv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iadny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 nem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zavies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obmedzenia iba na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klade svojich vn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tnych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vnych predpisov, ignoruj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 svoje medzin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zky. (...). Tento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stup potvrdzuje prax Eur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pskeho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du pre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udsk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6"/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jc w:val="both"/>
        <w:rPr>
          <w:rStyle w:val="iadne"/>
          <w:rFonts w:ascii="Arial" w:eastAsia="Arial" w:hAnsi="Arial" w:cs="Arial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eastAsia="Arial" w:hAnsi="Arial" w:cs="Arial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Medzin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rodnopr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vne 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ä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zky vypl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vaj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SR aj z 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Dohovoru o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ľ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uds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vach a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biomedic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úč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innos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ou od 1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0. febru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ra 2000 (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alej len </w:t>
      </w:r>
      <w:r>
        <w:rPr>
          <w:rStyle w:val="iadne"/>
          <w:rFonts w:ascii="Arial" w:hAnsi="Arial" w:cs="Arial Unicode MS"/>
          <w:b/>
          <w:bCs/>
          <w:i/>
          <w:i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Dohovor</w:t>
      </w:r>
      <w:r>
        <w:rPr>
          <w:rStyle w:val="iadne"/>
          <w:rFonts w:ascii="Arial" w:hAnsi="Arial" w:cs="Arial Unicode MS"/>
          <w:b/>
          <w:bCs/>
          <w:i/>
          <w:iCs/>
          <w:color w:val="222222"/>
          <w:u w:color="222222"/>
          <w:shd w:val="clear" w:color="auto" w:fill="FFFFFF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), a tento Dohovor okrem in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ho uv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222222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dza:</w:t>
      </w:r>
    </w:p>
    <w:p w:rsidR="00EF4BEB" w:rsidRDefault="00AE31E1">
      <w:pPr>
        <w:numPr>
          <w:ilvl w:val="1"/>
          <w:numId w:val="15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nok 1 Dohovoru: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Zmluvn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strany bud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stojnos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identitu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etk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ud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zaru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ia ka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mu bez diskrimin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cie re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pektovanie je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ho integrity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in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 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kladn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ch slob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vislosti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aplik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ciou biol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gie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medic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ny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EF4BEB" w:rsidRDefault="00AE31E1">
      <w:pPr>
        <w:numPr>
          <w:ilvl w:val="1"/>
          <w:numId w:val="15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nok 2 Dohovoru: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ujmy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blaho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loveka bud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prednos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hradn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ujmom vedy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spolo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tohto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nku vypl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va, 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ujmy jednotlivca maj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prednos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 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ujmom sp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olo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nosti.</w:t>
      </w:r>
    </w:p>
    <w:p w:rsidR="00EF4BEB" w:rsidRDefault="00AE31E1">
      <w:pPr>
        <w:numPr>
          <w:ilvl w:val="1"/>
          <w:numId w:val="15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nok 5 Dohovoru: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sah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oblasti zdravia sa 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vykona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iba vtedy, ak osoba, ktorej sa t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ka, bola informovan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sahom vyjadrila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hlas.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krokom mus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primerane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informovan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jeho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ele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povahe, ako aj 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sledkoch 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rizik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z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kroku.</w:t>
      </w:r>
      <w:r>
        <w:rPr>
          <w:rStyle w:val="iadne"/>
          <w:rFonts w:ascii="Arial" w:hAnsi="Arial" w:cs="Arial Unicode MS"/>
          <w:i/>
          <w:i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“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svoj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hlas kedyko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vek slobodne zru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F4BEB" w:rsidRDefault="00AE31E1">
      <w:pPr>
        <w:numPr>
          <w:ilvl w:val="1"/>
          <w:numId w:val="16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nok 10 ods. 1: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vo, aby sa re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pektoval jeho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kromn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 ž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ivot 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vislosti s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ciami o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jeho zdrav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eastAsia="Arial" w:hAnsi="Arial" w:cs="Arial"/>
          <w:b/>
          <w:b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7"/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jc w:val="both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jc w:val="both"/>
        <w:rPr>
          <w:rStyle w:val="iadne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klade zhorauveden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je teda zrejm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iadny ob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 Slovenskej republiky nem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konom ulo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ú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povinnos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prekry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si 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chacie cesty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čí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mko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vek. 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iadne"/>
          <w:rFonts w:ascii="Arial" w:eastAsia="Arial" w:hAnsi="Arial" w:cs="Arial"/>
          <w:cap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III.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ap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op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skutkov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stavu vypl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va,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ved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ca/i predajne LIDL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abokreky Prievidza p. XY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(ak zist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 meno a priezvisko)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Fonts w:ascii="Helvetica Neue" w:eastAsia="Helvetica Neue" w:hAnsi="Helvetica Neue" w:cs="Helvetica Neue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Naplnila/il v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etky znaky skutkovej podstaty zlo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inu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tlaku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192 ods. 1, odst. 2 p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b) s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pouka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zom na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139 ods. 1 p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sm. e) z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kona 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300/2005 Z. z. Trestn</w:t>
      </w:r>
      <w:r>
        <w:rPr>
          <w:rStyle w:val="iadne"/>
          <w:rFonts w:ascii="Helvetica Neue" w:hAnsi="Helvetica Neue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Helvetica Neue" w:hAnsi="Helvetica Neue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pr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vnej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pravy 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</w:t>
      </w:r>
      <w:r>
        <w:rPr>
          <w:rStyle w:val="iadne"/>
          <w:rFonts w:ascii="Arial" w:hAnsi="Arial" w:cs="Arial Unicode MS"/>
          <w:b/>
          <w:bCs/>
          <w:i/>
          <w:i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de lege lata</w:t>
      </w:r>
      <w:r>
        <w:rPr>
          <w:rStyle w:val="iadne"/>
          <w:rFonts w:ascii="Arial Unicode MS" w:hAnsi="Arial Unicode MS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nie je d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vod na post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penie veci priestupkov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 org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nu, preto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 sa jedn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jednozna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 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naplnenie v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etk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 znakov skutkovej podstaty obzvl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ášť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va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zlo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inu.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Style w:val="iadne"/>
          <w:rFonts w:ascii="Arial" w:eastAsia="Arial" w:hAnsi="Arial" w:cs="Arial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iadam, aby bolo v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konnej lehote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 menovan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 za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trestn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hanie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199 ods. 1 Trestn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poriadku a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rove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ň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vznesen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obvinenie pod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 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206 odst.1 Trestn</w:t>
      </w:r>
      <w:r>
        <w:rPr>
          <w:rStyle w:val="iadne"/>
          <w:rFonts w:ascii="Arial" w:hAnsi="Arial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poriadku pre sp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chanie uveden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zlo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inu. </w:t>
      </w: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Style w:val="iadne"/>
          <w:rFonts w:ascii="Arial" w:eastAsia="Arial" w:hAnsi="Arial" w:cs="Arial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:lang w:val="pt-PT"/>
          <w14:textOutline w14:w="0" w14:cap="flat" w14:cmpd="sng" w14:algn="ctr">
            <w14:noFill/>
            <w14:prstDash w14:val="solid"/>
            <w14:bevel/>
          </w14:textOutline>
        </w:rPr>
        <w:t>iadam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rover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, aby ste ma v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konom stanovenej lehote vyrozumeli o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sp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sobe vybavenia trestn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ho ozn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b/>
          <w:bCs/>
          <w:color w:val="000000"/>
          <w:u w:color="1C1E21"/>
          <w14:textOutline w14:w="0" w14:cap="flat" w14:cmpd="sng" w14:algn="ctr">
            <w14:noFill/>
            <w14:prstDash w14:val="solid"/>
            <w14:bevel/>
          </w14:textOutline>
        </w:rPr>
        <w:t>menia.</w:t>
      </w: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jc w:val="both"/>
        <w:rPr>
          <w:rStyle w:val="iadne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iadne"/>
          <w:rFonts w:ascii="Arial" w:eastAsia="Arial" w:hAnsi="Arial" w:cs="Arial"/>
          <w:b/>
          <w:bCs/>
          <w:cap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adne"/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08" w:firstLine="708"/>
        <w:rPr>
          <w:rStyle w:val="iadne"/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ú</w:t>
      </w:r>
      <w:r>
        <w:rPr>
          <w:rStyle w:val="iadne"/>
          <w:rFonts w:ascii="Arial" w:hAnsi="Arial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ctou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iadne"/>
          <w:rFonts w:ascii="Arial" w:eastAsia="Arial" w:hAnsi="Arial" w:cs="Arial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48" w:firstLine="708"/>
        <w:jc w:val="both"/>
        <w:rPr>
          <w:rStyle w:val="iadne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Ing. Eva Nahnevan</w:t>
      </w:r>
      <w:r>
        <w:rPr>
          <w:rStyle w:val="iadne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</w:p>
    <w:p w:rsidR="00EF4BEB" w:rsidRDefault="00AE31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4248"/>
        <w:jc w:val="both"/>
        <w:rPr>
          <w:rStyle w:val="iadne"/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kazy:</w:t>
      </w:r>
    </w:p>
    <w:p w:rsidR="00EF4BEB" w:rsidRDefault="00EF4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Arial" w:eastAsia="Arial" w:hAnsi="Arial" w:cs="Arial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4BEB" w:rsidRDefault="00AE31E1">
      <w:pPr>
        <w:numPr>
          <w:ilvl w:val="0"/>
          <w:numId w:val="17"/>
        </w:numPr>
        <w:spacing w:after="200" w:line="276" w:lineRule="auto"/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videoz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znam situ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cie, v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sluch svedkov XY, bytom; XZ, bytom; XX, bytom </w:t>
      </w:r>
      <w:r>
        <w:rPr>
          <w:rStyle w:val="iad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sectPr w:rsidR="00EF4BE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E31E1">
      <w:r>
        <w:separator/>
      </w:r>
    </w:p>
  </w:endnote>
  <w:endnote w:type="continuationSeparator" w:id="0">
    <w:p w:rsidR="00000000" w:rsidRDefault="00AE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BEB" w:rsidRDefault="00EF4B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BEB" w:rsidRDefault="00AE31E1">
      <w:r>
        <w:separator/>
      </w:r>
    </w:p>
  </w:footnote>
  <w:footnote w:type="continuationSeparator" w:id="0">
    <w:p w:rsidR="00EF4BEB" w:rsidRDefault="00AE31E1">
      <w:r>
        <w:continuationSeparator/>
      </w:r>
    </w:p>
  </w:footnote>
  <w:footnote w:type="continuationNotice" w:id="1">
    <w:p w:rsidR="00EF4BEB" w:rsidRDefault="00EF4BEB"/>
  </w:footnote>
  <w:footnote w:id="2">
    <w:p w:rsidR="00EF4BEB" w:rsidRDefault="00AE31E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iadne"/>
          <w:rFonts w:ascii="Calibri" w:eastAsia="Calibri" w:hAnsi="Calibri" w:cs="Calibri"/>
          <w:sz w:val="18"/>
          <w:szCs w:val="18"/>
          <w:u w:color="000000"/>
          <w:vertAlign w:val="superscript"/>
        </w:rPr>
        <w:footnoteRef/>
      </w:r>
      <w:r>
        <w:rPr>
          <w:rFonts w:ascii="Calibri" w:hAnsi="Calibri"/>
          <w:sz w:val="20"/>
          <w:szCs w:val="20"/>
          <w:u w:color="000000"/>
        </w:rPr>
        <w:t xml:space="preserve"> </w:t>
      </w:r>
      <w:r>
        <w:rPr>
          <w:rStyle w:val="iadne"/>
          <w:rFonts w:ascii="Calibri" w:hAnsi="Calibri"/>
          <w:sz w:val="16"/>
          <w:szCs w:val="16"/>
          <w:u w:color="000000"/>
          <w:lang w:val="de-DE"/>
        </w:rPr>
        <w:t xml:space="preserve">IVOR, J. 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– </w:t>
      </w:r>
      <w:r>
        <w:rPr>
          <w:rStyle w:val="iadne"/>
          <w:rFonts w:ascii="Calibri" w:hAnsi="Calibri"/>
          <w:sz w:val="16"/>
          <w:szCs w:val="16"/>
          <w:u w:color="000000"/>
        </w:rPr>
        <w:t>POL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 xml:space="preserve">K, P. 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– </w:t>
      </w:r>
      <w:r>
        <w:rPr>
          <w:rStyle w:val="iadne"/>
          <w:rFonts w:ascii="Calibri" w:hAnsi="Calibri"/>
          <w:sz w:val="16"/>
          <w:szCs w:val="16"/>
          <w:u w:color="000000"/>
        </w:rPr>
        <w:t>Z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  <w:lang w:val="de-DE"/>
        </w:rPr>
        <w:t xml:space="preserve">HORA, J. 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Trestn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  <w:lang w:val="fr-FR"/>
        </w:rPr>
        <w:t xml:space="preserve">é 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pr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vo hmotn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  <w:lang w:val="fr-FR"/>
        </w:rPr>
        <w:t>é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. Osobitn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á č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as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ť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. 2.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 Bratislava: Wolters Kluwer s.r.o., 2017. s. 116. ISBN 978-80-8168-585-9.</w:t>
      </w:r>
    </w:p>
  </w:footnote>
  <w:footnote w:id="3">
    <w:p w:rsidR="00EF4BEB" w:rsidRDefault="00AE31E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iadne"/>
          <w:rFonts w:ascii="Calibri" w:eastAsia="Calibri" w:hAnsi="Calibri" w:cs="Calibri"/>
          <w:i/>
          <w:iCs/>
          <w:sz w:val="18"/>
          <w:szCs w:val="18"/>
          <w:u w:color="000000"/>
          <w:vertAlign w:val="superscript"/>
        </w:rPr>
        <w:footnoteRef/>
      </w:r>
      <w:r>
        <w:rPr>
          <w:rStyle w:val="iadne"/>
          <w:rFonts w:ascii="Calibri" w:hAnsi="Calibri"/>
          <w:sz w:val="20"/>
          <w:szCs w:val="20"/>
          <w:u w:color="000000"/>
        </w:rPr>
        <w:t xml:space="preserve"> </w:t>
      </w:r>
      <w:r>
        <w:rPr>
          <w:rStyle w:val="iadne"/>
          <w:rFonts w:ascii="Calibri" w:hAnsi="Calibri"/>
          <w:sz w:val="16"/>
          <w:szCs w:val="16"/>
          <w:u w:color="000000"/>
          <w:lang w:val="de-DE"/>
        </w:rPr>
        <w:t xml:space="preserve">IVOR, J. </w:t>
      </w:r>
      <w:r>
        <w:rPr>
          <w:rStyle w:val="iadne"/>
          <w:rFonts w:ascii="Calibri" w:hAnsi="Calibri"/>
          <w:sz w:val="16"/>
          <w:szCs w:val="16"/>
          <w:u w:color="000000"/>
        </w:rPr>
        <w:t>– Č</w:t>
      </w:r>
      <w:r>
        <w:rPr>
          <w:rStyle w:val="iadne"/>
          <w:rFonts w:ascii="Calibri" w:hAnsi="Calibri"/>
          <w:sz w:val="16"/>
          <w:szCs w:val="16"/>
          <w:u w:color="000000"/>
          <w:lang w:val="de-DE"/>
        </w:rPr>
        <w:t>ENT</w:t>
      </w:r>
      <w:r>
        <w:rPr>
          <w:rStyle w:val="iadne"/>
          <w:rFonts w:ascii="Calibri" w:hAnsi="Calibri"/>
          <w:sz w:val="16"/>
          <w:szCs w:val="16"/>
          <w:u w:color="000000"/>
        </w:rPr>
        <w:t>ÉŠ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, J. 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– </w:t>
      </w:r>
      <w:r>
        <w:rPr>
          <w:rStyle w:val="iadne"/>
          <w:rFonts w:ascii="Calibri" w:hAnsi="Calibri"/>
          <w:sz w:val="16"/>
          <w:szCs w:val="16"/>
          <w:u w:color="000000"/>
        </w:rPr>
        <w:t>KORGO, D. et al. Trestn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 xml:space="preserve">é </w:t>
      </w:r>
      <w:r>
        <w:rPr>
          <w:rStyle w:val="iadne"/>
          <w:rFonts w:ascii="Calibri" w:hAnsi="Calibri"/>
          <w:sz w:val="16"/>
          <w:szCs w:val="16"/>
          <w:u w:color="000000"/>
        </w:rPr>
        <w:t>pr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</w:rPr>
        <w:t>vo hmotn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>é</w:t>
      </w:r>
      <w:r>
        <w:rPr>
          <w:rStyle w:val="iadne"/>
          <w:rFonts w:ascii="Calibri" w:hAnsi="Calibri"/>
          <w:sz w:val="16"/>
          <w:szCs w:val="16"/>
          <w:u w:color="000000"/>
        </w:rPr>
        <w:t>. Osobitn</w:t>
      </w:r>
      <w:r>
        <w:rPr>
          <w:rStyle w:val="iadne"/>
          <w:rFonts w:ascii="Calibri" w:hAnsi="Calibri"/>
          <w:sz w:val="16"/>
          <w:szCs w:val="16"/>
          <w:u w:color="000000"/>
        </w:rPr>
        <w:t>á č</w:t>
      </w:r>
      <w:r>
        <w:rPr>
          <w:rStyle w:val="iadne"/>
          <w:rFonts w:ascii="Calibri" w:hAnsi="Calibri"/>
          <w:sz w:val="16"/>
          <w:szCs w:val="16"/>
          <w:u w:color="000000"/>
        </w:rPr>
        <w:t>as</w:t>
      </w:r>
      <w:r>
        <w:rPr>
          <w:rStyle w:val="iadne"/>
          <w:rFonts w:ascii="Calibri" w:hAnsi="Calibri"/>
          <w:sz w:val="16"/>
          <w:szCs w:val="16"/>
          <w:u w:color="000000"/>
        </w:rPr>
        <w:t>ť</w:t>
      </w:r>
      <w:r>
        <w:rPr>
          <w:rStyle w:val="iadne"/>
          <w:rFonts w:ascii="Calibri" w:hAnsi="Calibri"/>
          <w:sz w:val="16"/>
          <w:szCs w:val="16"/>
          <w:u w:color="000000"/>
        </w:rPr>
        <w:t>. Druh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>é</w:t>
      </w:r>
      <w:r>
        <w:rPr>
          <w:rStyle w:val="iadne"/>
          <w:rFonts w:ascii="Calibri" w:hAnsi="Calibri"/>
          <w:sz w:val="16"/>
          <w:szCs w:val="16"/>
          <w:u w:color="000000"/>
        </w:rPr>
        <w:t>, doplnen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 xml:space="preserve">é </w:t>
      </w:r>
      <w:r>
        <w:rPr>
          <w:rStyle w:val="iadne"/>
          <w:rFonts w:ascii="Calibri" w:hAnsi="Calibri"/>
          <w:sz w:val="16"/>
          <w:szCs w:val="16"/>
          <w:u w:color="000000"/>
        </w:rPr>
        <w:t>a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</w:rPr>
        <w:t>prepracovan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 xml:space="preserve">é </w:t>
      </w:r>
      <w:r>
        <w:rPr>
          <w:rStyle w:val="iadne"/>
          <w:rFonts w:ascii="Calibri" w:hAnsi="Calibri"/>
          <w:sz w:val="16"/>
          <w:szCs w:val="16"/>
          <w:u w:color="000000"/>
        </w:rPr>
        <w:t>vydanie. Bratislava: Iura Edition, spol. s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  <w:lang w:val="pt-PT"/>
        </w:rPr>
        <w:t xml:space="preserve">r. o., 2010. s. 100 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– </w:t>
      </w:r>
      <w:r>
        <w:rPr>
          <w:rStyle w:val="iadne"/>
          <w:rFonts w:ascii="Calibri" w:hAnsi="Calibri"/>
          <w:sz w:val="16"/>
          <w:szCs w:val="16"/>
          <w:u w:color="000000"/>
        </w:rPr>
        <w:t>101. ISBN 978-80-8078-308-2.</w:t>
      </w:r>
    </w:p>
  </w:footnote>
  <w:footnote w:id="4">
    <w:p w:rsidR="00EF4BEB" w:rsidRDefault="00AE31E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iadne"/>
          <w:rFonts w:ascii="Calibri" w:eastAsia="Calibri" w:hAnsi="Calibri" w:cs="Calibri"/>
          <w:b/>
          <w:bCs/>
          <w:i/>
          <w:iCs/>
          <w:sz w:val="18"/>
          <w:szCs w:val="18"/>
          <w:u w:color="000000"/>
          <w:vertAlign w:val="superscript"/>
        </w:rPr>
        <w:footnoteRef/>
      </w:r>
      <w:r>
        <w:rPr>
          <w:rStyle w:val="iadne"/>
          <w:rFonts w:ascii="Calibri" w:hAnsi="Calibri"/>
          <w:sz w:val="20"/>
          <w:szCs w:val="20"/>
          <w:u w:color="000000"/>
        </w:rPr>
        <w:t xml:space="preserve"> 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Eur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  <w:lang w:val="es-ES_tradnl"/>
        </w:rPr>
        <w:t>ó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pska komisia pre demokraciu prostredn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í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ctvom pr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  <w:lang w:val="it-IT"/>
        </w:rPr>
        <w:t>va (Ben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tska komisia). S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hrn stanov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í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sk a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  <w:lang w:val="de-DE"/>
        </w:rPr>
        <w:t>spr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v Ben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tskej komisie k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n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dzov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  <w:lang w:val="fr-FR"/>
        </w:rPr>
        <w:t>é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 xml:space="preserve">mu stavu.  </w:t>
      </w:r>
      <w:r>
        <w:rPr>
          <w:rStyle w:val="iadne"/>
          <w:rFonts w:ascii="Calibri" w:hAnsi="Calibri"/>
          <w:sz w:val="16"/>
          <w:szCs w:val="16"/>
          <w:u w:color="000000"/>
          <w:lang w:val="pt-PT"/>
        </w:rPr>
        <w:t xml:space="preserve"> [cit. 2021-25-10]. </w:t>
      </w:r>
      <w:r>
        <w:rPr>
          <w:rStyle w:val="iadne"/>
          <w:rFonts w:ascii="Calibri" w:hAnsi="Calibri"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sz w:val="16"/>
          <w:szCs w:val="16"/>
          <w:u w:color="000000"/>
        </w:rPr>
        <w:t>stavn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ý </w:t>
      </w:r>
      <w:r>
        <w:rPr>
          <w:rStyle w:val="iadne"/>
          <w:rFonts w:ascii="Calibri" w:hAnsi="Calibri"/>
          <w:sz w:val="16"/>
          <w:szCs w:val="16"/>
          <w:u w:color="000000"/>
        </w:rPr>
        <w:t>s</w:t>
      </w:r>
      <w:r>
        <w:rPr>
          <w:rStyle w:val="iadne"/>
          <w:rFonts w:ascii="Calibri" w:hAnsi="Calibri"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sz w:val="16"/>
          <w:szCs w:val="16"/>
          <w:u w:color="000000"/>
        </w:rPr>
        <w:t>d Slovenskej republiky: Odbor zahrani</w:t>
      </w:r>
      <w:r>
        <w:rPr>
          <w:rStyle w:val="iadne"/>
          <w:rFonts w:ascii="Calibri" w:hAnsi="Calibri"/>
          <w:sz w:val="16"/>
          <w:szCs w:val="16"/>
          <w:u w:color="000000"/>
        </w:rPr>
        <w:t>č</w:t>
      </w:r>
      <w:r>
        <w:rPr>
          <w:rStyle w:val="iadne"/>
          <w:rFonts w:ascii="Calibri" w:hAnsi="Calibri"/>
          <w:sz w:val="16"/>
          <w:szCs w:val="16"/>
          <w:u w:color="000000"/>
        </w:rPr>
        <w:t>n</w:t>
      </w:r>
      <w:r>
        <w:rPr>
          <w:rStyle w:val="iadne"/>
          <w:rFonts w:ascii="Calibri" w:hAnsi="Calibri"/>
          <w:sz w:val="16"/>
          <w:szCs w:val="16"/>
          <w:u w:color="000000"/>
        </w:rPr>
        <w:t>ý</w:t>
      </w:r>
      <w:r>
        <w:rPr>
          <w:rStyle w:val="iadne"/>
          <w:rFonts w:ascii="Calibri" w:hAnsi="Calibri"/>
          <w:sz w:val="16"/>
          <w:szCs w:val="16"/>
          <w:u w:color="000000"/>
        </w:rPr>
        <w:t>ch vz</w:t>
      </w:r>
      <w:r>
        <w:rPr>
          <w:rStyle w:val="iadne"/>
          <w:rFonts w:ascii="Calibri" w:hAnsi="Calibri"/>
          <w:sz w:val="16"/>
          <w:szCs w:val="16"/>
          <w:u w:color="000000"/>
        </w:rPr>
        <w:t>ť</w:t>
      </w:r>
      <w:r>
        <w:rPr>
          <w:rStyle w:val="iadne"/>
          <w:rFonts w:ascii="Calibri" w:hAnsi="Calibri"/>
          <w:sz w:val="16"/>
          <w:szCs w:val="16"/>
          <w:u w:color="000000"/>
        </w:rPr>
        <w:t>ahov a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</w:rPr>
        <w:t>protokolu. Kancel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  <w:lang w:val="it-IT"/>
        </w:rPr>
        <w:t xml:space="preserve">ria </w:t>
      </w:r>
      <w:r>
        <w:rPr>
          <w:rStyle w:val="iadne"/>
          <w:rFonts w:ascii="Calibri" w:hAnsi="Calibri"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sz w:val="16"/>
          <w:szCs w:val="16"/>
          <w:u w:color="000000"/>
        </w:rPr>
        <w:t>stavn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>é</w:t>
      </w:r>
      <w:r>
        <w:rPr>
          <w:rStyle w:val="iadne"/>
          <w:rFonts w:ascii="Calibri" w:hAnsi="Calibri"/>
          <w:sz w:val="16"/>
          <w:szCs w:val="16"/>
          <w:u w:color="000000"/>
        </w:rPr>
        <w:t>ho s</w:t>
      </w:r>
      <w:r>
        <w:rPr>
          <w:rStyle w:val="iadne"/>
          <w:rFonts w:ascii="Calibri" w:hAnsi="Calibri"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sz w:val="16"/>
          <w:szCs w:val="16"/>
          <w:u w:color="000000"/>
        </w:rPr>
        <w:t>du Slovenskej republiky. CDL-PI(2020)003. Dostupn</w:t>
      </w:r>
      <w:r>
        <w:rPr>
          <w:rStyle w:val="iadne"/>
          <w:rFonts w:ascii="Calibri" w:hAnsi="Calibri"/>
          <w:sz w:val="16"/>
          <w:szCs w:val="16"/>
          <w:u w:color="000000"/>
        </w:rPr>
        <w:t>é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 na:</w:t>
      </w:r>
      <w:hyperlink r:id="rId1" w:history="1">
        <w:r>
          <w:rPr>
            <w:rStyle w:val="Hyperlink1"/>
            <w:rFonts w:ascii="Calibri" w:hAnsi="Calibri"/>
          </w:rPr>
          <w:t>https://www.ustavnysud.sk/documents/10182/42829548/Suhrn+stanovisk+Benatskej+komisie+k+nudzove</w:t>
        </w:r>
        <w:r>
          <w:rPr>
            <w:rStyle w:val="Hyperlink1"/>
            <w:rFonts w:ascii="Calibri" w:hAnsi="Calibri"/>
          </w:rPr>
          <w:t>mu+stavu_final.pdf/b5dca577-b19d-4d94-a005-0aaea881823d</w:t>
        </w:r>
      </w:hyperlink>
    </w:p>
  </w:footnote>
  <w:footnote w:id="5">
    <w:p w:rsidR="00EF4BEB" w:rsidRDefault="00AE31E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iadne"/>
          <w:rFonts w:ascii="Calibri" w:eastAsia="Calibri" w:hAnsi="Calibri" w:cs="Calibri"/>
          <w:b/>
          <w:bCs/>
          <w:i/>
          <w:iCs/>
          <w:sz w:val="18"/>
          <w:szCs w:val="18"/>
          <w:u w:color="000000"/>
          <w:vertAlign w:val="superscript"/>
        </w:rPr>
        <w:footnoteRef/>
      </w:r>
      <w:r>
        <w:rPr>
          <w:rStyle w:val="iadne"/>
          <w:rFonts w:ascii="Calibri" w:hAnsi="Calibri"/>
          <w:sz w:val="20"/>
          <w:szCs w:val="20"/>
          <w:u w:color="000000"/>
        </w:rPr>
        <w:t xml:space="preserve"> 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Tamtie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ž</w:t>
      </w:r>
    </w:p>
  </w:footnote>
  <w:footnote w:id="6">
    <w:p w:rsidR="00EF4BEB" w:rsidRDefault="00AE31E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iadne"/>
          <w:rFonts w:ascii="Calibri" w:eastAsia="Calibri" w:hAnsi="Calibri" w:cs="Calibri"/>
          <w:b/>
          <w:bCs/>
          <w:i/>
          <w:iCs/>
          <w:sz w:val="19"/>
          <w:szCs w:val="19"/>
          <w:u w:color="000000"/>
          <w:vertAlign w:val="superscript"/>
        </w:rPr>
        <w:footnoteRef/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 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Tamtie</w:t>
      </w:r>
      <w:r>
        <w:rPr>
          <w:rStyle w:val="iadne"/>
          <w:rFonts w:ascii="Calibri" w:hAnsi="Calibri"/>
          <w:i/>
          <w:iCs/>
          <w:sz w:val="16"/>
          <w:szCs w:val="16"/>
          <w:u w:color="000000"/>
        </w:rPr>
        <w:t>ž</w:t>
      </w:r>
    </w:p>
  </w:footnote>
  <w:footnote w:id="7">
    <w:p w:rsidR="00EF4BEB" w:rsidRDefault="00AE31E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Style w:val="iadne"/>
          <w:rFonts w:ascii="Calibri" w:eastAsia="Calibri" w:hAnsi="Calibri" w:cs="Calibri"/>
          <w:b/>
          <w:bCs/>
          <w:sz w:val="19"/>
          <w:szCs w:val="19"/>
          <w:u w:color="000000"/>
          <w:vertAlign w:val="superscript"/>
        </w:rPr>
        <w:footnoteRef/>
      </w:r>
      <w:r>
        <w:rPr>
          <w:rStyle w:val="iadne"/>
          <w:rFonts w:ascii="Calibri" w:hAnsi="Calibri"/>
          <w:sz w:val="20"/>
          <w:szCs w:val="20"/>
          <w:u w:color="000000"/>
        </w:rPr>
        <w:t xml:space="preserve"> </w:t>
      </w:r>
      <w:r>
        <w:rPr>
          <w:rStyle w:val="iadne"/>
          <w:rFonts w:ascii="Calibri" w:hAnsi="Calibri"/>
          <w:sz w:val="16"/>
          <w:szCs w:val="16"/>
          <w:u w:color="000000"/>
        </w:rPr>
        <w:t>Ozn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menie MZV SR </w:t>
      </w:r>
      <w:r>
        <w:rPr>
          <w:rStyle w:val="iadne"/>
          <w:rFonts w:ascii="Calibri" w:hAnsi="Calibri"/>
          <w:sz w:val="16"/>
          <w:szCs w:val="16"/>
          <w:u w:color="000000"/>
        </w:rPr>
        <w:t>č</w:t>
      </w:r>
      <w:r>
        <w:rPr>
          <w:rStyle w:val="iadne"/>
          <w:rFonts w:ascii="Calibri" w:hAnsi="Calibri"/>
          <w:sz w:val="16"/>
          <w:szCs w:val="16"/>
          <w:u w:color="000000"/>
          <w:lang w:val="de-DE"/>
        </w:rPr>
        <w:t>. 40/2000 Z. z. Dohovor o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ochrane </w:t>
      </w:r>
      <w:r>
        <w:rPr>
          <w:rStyle w:val="iadne"/>
          <w:rFonts w:ascii="Calibri" w:hAnsi="Calibri"/>
          <w:sz w:val="16"/>
          <w:szCs w:val="16"/>
          <w:u w:color="000000"/>
        </w:rPr>
        <w:t>ľ</w:t>
      </w:r>
      <w:r>
        <w:rPr>
          <w:rStyle w:val="iadne"/>
          <w:rFonts w:ascii="Calibri" w:hAnsi="Calibri"/>
          <w:sz w:val="16"/>
          <w:szCs w:val="16"/>
          <w:u w:color="000000"/>
        </w:rPr>
        <w:t>udsk</w:t>
      </w:r>
      <w:r>
        <w:rPr>
          <w:rStyle w:val="iadne"/>
          <w:rFonts w:ascii="Calibri" w:hAnsi="Calibri"/>
          <w:sz w:val="16"/>
          <w:szCs w:val="16"/>
          <w:u w:color="000000"/>
        </w:rPr>
        <w:t>ý</w:t>
      </w:r>
      <w:r>
        <w:rPr>
          <w:rStyle w:val="iadne"/>
          <w:rFonts w:ascii="Calibri" w:hAnsi="Calibri"/>
          <w:sz w:val="16"/>
          <w:szCs w:val="16"/>
          <w:u w:color="000000"/>
        </w:rPr>
        <w:t>ch pr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</w:rPr>
        <w:t>v a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</w:rPr>
        <w:t>d</w:t>
      </w:r>
      <w:r>
        <w:rPr>
          <w:rStyle w:val="iadne"/>
          <w:rFonts w:ascii="Calibri" w:hAnsi="Calibri"/>
          <w:sz w:val="16"/>
          <w:szCs w:val="16"/>
          <w:u w:color="000000"/>
        </w:rPr>
        <w:t>ô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stojnosti </w:t>
      </w:r>
      <w:r>
        <w:rPr>
          <w:rStyle w:val="iadne"/>
          <w:rFonts w:ascii="Calibri" w:hAnsi="Calibri"/>
          <w:sz w:val="16"/>
          <w:szCs w:val="16"/>
          <w:u w:color="000000"/>
        </w:rPr>
        <w:t>č</w:t>
      </w:r>
      <w:r>
        <w:rPr>
          <w:rStyle w:val="iadne"/>
          <w:rFonts w:ascii="Calibri" w:hAnsi="Calibri"/>
          <w:sz w:val="16"/>
          <w:szCs w:val="16"/>
          <w:u w:color="000000"/>
        </w:rPr>
        <w:t>loveka v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</w:rPr>
        <w:t>s</w:t>
      </w:r>
      <w:r>
        <w:rPr>
          <w:rStyle w:val="iadne"/>
          <w:rFonts w:ascii="Calibri" w:hAnsi="Calibri"/>
          <w:sz w:val="16"/>
          <w:szCs w:val="16"/>
          <w:u w:color="000000"/>
        </w:rPr>
        <w:t>ú</w:t>
      </w:r>
      <w:r>
        <w:rPr>
          <w:rStyle w:val="iadne"/>
          <w:rFonts w:ascii="Calibri" w:hAnsi="Calibri"/>
          <w:sz w:val="16"/>
          <w:szCs w:val="16"/>
          <w:u w:color="000000"/>
        </w:rPr>
        <w:t>vislosti s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</w:rPr>
        <w:t>aplik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</w:rPr>
        <w:t>ciou biol</w:t>
      </w:r>
      <w:r>
        <w:rPr>
          <w:rStyle w:val="iadne"/>
          <w:rFonts w:ascii="Calibri" w:hAnsi="Calibri"/>
          <w:sz w:val="16"/>
          <w:szCs w:val="16"/>
          <w:u w:color="000000"/>
          <w:lang w:val="es-ES_tradnl"/>
        </w:rPr>
        <w:t>ó</w:t>
      </w:r>
      <w:r>
        <w:rPr>
          <w:rStyle w:val="iadne"/>
          <w:rFonts w:ascii="Calibri" w:hAnsi="Calibri"/>
          <w:sz w:val="16"/>
          <w:szCs w:val="16"/>
          <w:u w:color="000000"/>
          <w:lang w:val="de-DE"/>
        </w:rPr>
        <w:t>gie a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  <w:lang w:val="en-US"/>
        </w:rPr>
        <w:t>medic</w:t>
      </w:r>
      <w:r>
        <w:rPr>
          <w:rStyle w:val="iadne"/>
          <w:rFonts w:ascii="Calibri" w:hAnsi="Calibri"/>
          <w:sz w:val="16"/>
          <w:szCs w:val="16"/>
          <w:u w:color="000000"/>
        </w:rPr>
        <w:t>í</w:t>
      </w:r>
      <w:r>
        <w:rPr>
          <w:rStyle w:val="iadne"/>
          <w:rFonts w:ascii="Calibri" w:hAnsi="Calibri"/>
          <w:sz w:val="16"/>
          <w:szCs w:val="16"/>
          <w:u w:color="000000"/>
        </w:rPr>
        <w:t>ny. Dohovor o</w:t>
      </w:r>
      <w:r>
        <w:rPr>
          <w:rStyle w:val="iadne"/>
          <w:rFonts w:ascii="Calibri" w:hAnsi="Calibri"/>
          <w:sz w:val="16"/>
          <w:szCs w:val="16"/>
          <w:u w:color="000000"/>
        </w:rPr>
        <w:t> ľ</w:t>
      </w:r>
      <w:r>
        <w:rPr>
          <w:rStyle w:val="iadne"/>
          <w:rFonts w:ascii="Calibri" w:hAnsi="Calibri"/>
          <w:sz w:val="16"/>
          <w:szCs w:val="16"/>
          <w:u w:color="000000"/>
        </w:rPr>
        <w:t>udsk</w:t>
      </w:r>
      <w:r>
        <w:rPr>
          <w:rStyle w:val="iadne"/>
          <w:rFonts w:ascii="Calibri" w:hAnsi="Calibri"/>
          <w:sz w:val="16"/>
          <w:szCs w:val="16"/>
          <w:u w:color="000000"/>
        </w:rPr>
        <w:t>ý</w:t>
      </w:r>
      <w:r>
        <w:rPr>
          <w:rStyle w:val="iadne"/>
          <w:rFonts w:ascii="Calibri" w:hAnsi="Calibri"/>
          <w:sz w:val="16"/>
          <w:szCs w:val="16"/>
          <w:u w:color="000000"/>
        </w:rPr>
        <w:t>ch pr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  <w:lang w:val="en-US"/>
        </w:rPr>
        <w:t>vach a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  <w:lang w:val="it-IT"/>
        </w:rPr>
        <w:t>biomedic</w:t>
      </w:r>
      <w:r>
        <w:rPr>
          <w:rStyle w:val="iadne"/>
          <w:rFonts w:ascii="Calibri" w:hAnsi="Calibri"/>
          <w:sz w:val="16"/>
          <w:szCs w:val="16"/>
          <w:u w:color="000000"/>
        </w:rPr>
        <w:t>í</w:t>
      </w:r>
      <w:r>
        <w:rPr>
          <w:rStyle w:val="iadne"/>
          <w:rFonts w:ascii="Calibri" w:hAnsi="Calibri"/>
          <w:sz w:val="16"/>
          <w:szCs w:val="16"/>
          <w:u w:color="000000"/>
          <w:lang w:val="pt-PT"/>
        </w:rPr>
        <w:t>ne. [online]. SLOV-LEX: Pr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</w:rPr>
        <w:t>vny a</w:t>
      </w:r>
      <w:r>
        <w:rPr>
          <w:rStyle w:val="iadne"/>
          <w:rFonts w:ascii="Calibri" w:hAnsi="Calibri"/>
          <w:sz w:val="16"/>
          <w:szCs w:val="16"/>
          <w:u w:color="000000"/>
        </w:rPr>
        <w:t> </w:t>
      </w:r>
      <w:r>
        <w:rPr>
          <w:rStyle w:val="iadne"/>
          <w:rFonts w:ascii="Calibri" w:hAnsi="Calibri"/>
          <w:sz w:val="16"/>
          <w:szCs w:val="16"/>
          <w:u w:color="000000"/>
          <w:lang w:val="en-US"/>
        </w:rPr>
        <w:t>informa</w:t>
      </w:r>
      <w:r>
        <w:rPr>
          <w:rStyle w:val="iadne"/>
          <w:rFonts w:ascii="Calibri" w:hAnsi="Calibri"/>
          <w:sz w:val="16"/>
          <w:szCs w:val="16"/>
          <w:u w:color="000000"/>
        </w:rPr>
        <w:t>č</w:t>
      </w:r>
      <w:r>
        <w:rPr>
          <w:rStyle w:val="iadne"/>
          <w:rFonts w:ascii="Calibri" w:hAnsi="Calibri"/>
          <w:sz w:val="16"/>
          <w:szCs w:val="16"/>
          <w:u w:color="000000"/>
        </w:rPr>
        <w:t>n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ý </w:t>
      </w:r>
      <w:r>
        <w:rPr>
          <w:rStyle w:val="iadne"/>
          <w:rFonts w:ascii="Calibri" w:hAnsi="Calibri"/>
          <w:sz w:val="16"/>
          <w:szCs w:val="16"/>
          <w:u w:color="000000"/>
        </w:rPr>
        <w:t>port</w:t>
      </w:r>
      <w:r>
        <w:rPr>
          <w:rStyle w:val="iadne"/>
          <w:rFonts w:ascii="Calibri" w:hAnsi="Calibri"/>
          <w:sz w:val="16"/>
          <w:szCs w:val="16"/>
          <w:u w:color="000000"/>
        </w:rPr>
        <w:t>á</w:t>
      </w:r>
      <w:r>
        <w:rPr>
          <w:rStyle w:val="iadne"/>
          <w:rFonts w:ascii="Calibri" w:hAnsi="Calibri"/>
          <w:sz w:val="16"/>
          <w:szCs w:val="16"/>
          <w:u w:color="000000"/>
        </w:rPr>
        <w:t>l. [cit. 2021-10-25]. Dostupn</w:t>
      </w:r>
      <w:r>
        <w:rPr>
          <w:rStyle w:val="iadne"/>
          <w:rFonts w:ascii="Calibri" w:hAnsi="Calibri"/>
          <w:sz w:val="16"/>
          <w:szCs w:val="16"/>
          <w:u w:color="000000"/>
          <w:lang w:val="fr-FR"/>
        </w:rPr>
        <w:t xml:space="preserve">é </w:t>
      </w:r>
      <w:r>
        <w:rPr>
          <w:rStyle w:val="iadne"/>
          <w:rFonts w:ascii="Calibri" w:hAnsi="Calibri"/>
          <w:sz w:val="16"/>
          <w:szCs w:val="16"/>
          <w:u w:color="000000"/>
        </w:rPr>
        <w:t xml:space="preserve">na:   </w:t>
      </w:r>
      <w:hyperlink r:id="rId2" w:history="1">
        <w:r>
          <w:rPr>
            <w:rStyle w:val="Hyperlink1"/>
            <w:rFonts w:ascii="Calibri" w:hAnsi="Calibri"/>
          </w:rPr>
          <w:t>https://www.slov-lex.sk/pravne-predpisy/SK/ZZ/2000/40/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BEB" w:rsidRDefault="00EF4B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B68"/>
    <w:multiLevelType w:val="hybridMultilevel"/>
    <w:tmpl w:val="FFFFFFFF"/>
    <w:styleLink w:val="Importovantl5"/>
    <w:lvl w:ilvl="0" w:tplc="2C8669C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EAEE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2E3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CE7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CCC6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638E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C9B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48E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C05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A0E06"/>
    <w:multiLevelType w:val="hybridMultilevel"/>
    <w:tmpl w:val="FFFFFFFF"/>
    <w:styleLink w:val="Importovantl3"/>
    <w:lvl w:ilvl="0" w:tplc="5E92628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AFA22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AE35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E2D1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FAD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26E7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5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840C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A736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5D5F27"/>
    <w:multiLevelType w:val="hybridMultilevel"/>
    <w:tmpl w:val="FFFFFFFF"/>
    <w:styleLink w:val="Importovantl2"/>
    <w:lvl w:ilvl="0" w:tplc="5BFC53E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8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84E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C085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632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4B5E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CF69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E79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2C8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A992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4C7292"/>
    <w:multiLevelType w:val="hybridMultilevel"/>
    <w:tmpl w:val="FFFFFFFF"/>
    <w:styleLink w:val="Importovantl1"/>
    <w:lvl w:ilvl="0" w:tplc="4536B5AA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A60D1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44AE64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8E2B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21D9E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2136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D2A28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23D2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8E08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484382"/>
    <w:multiLevelType w:val="hybridMultilevel"/>
    <w:tmpl w:val="FFFFFFFF"/>
    <w:styleLink w:val="Importovantl30"/>
    <w:lvl w:ilvl="0" w:tplc="1D2EB88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E593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01512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4C7D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2559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618C4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020BA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4751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A66DE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DF5BE4"/>
    <w:multiLevelType w:val="hybridMultilevel"/>
    <w:tmpl w:val="FFFFFFFF"/>
    <w:numStyleLink w:val="Importovantl3"/>
  </w:abstractNum>
  <w:abstractNum w:abstractNumId="6" w15:restartNumberingAfterBreak="0">
    <w:nsid w:val="44204F88"/>
    <w:multiLevelType w:val="hybridMultilevel"/>
    <w:tmpl w:val="FFFFFFFF"/>
    <w:numStyleLink w:val="Importovantl30"/>
  </w:abstractNum>
  <w:abstractNum w:abstractNumId="7" w15:restartNumberingAfterBreak="0">
    <w:nsid w:val="555F5A9C"/>
    <w:multiLevelType w:val="hybridMultilevel"/>
    <w:tmpl w:val="FFFFFFFF"/>
    <w:styleLink w:val="Importovantl4"/>
    <w:lvl w:ilvl="0" w:tplc="C08AF5D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483C4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0C56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C52B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B4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C025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EBFD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47A3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2459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A25CEA"/>
    <w:multiLevelType w:val="hybridMultilevel"/>
    <w:tmpl w:val="FFFFFFFF"/>
    <w:numStyleLink w:val="Importovantl11"/>
  </w:abstractNum>
  <w:abstractNum w:abstractNumId="9" w15:restartNumberingAfterBreak="0">
    <w:nsid w:val="62B050C8"/>
    <w:multiLevelType w:val="hybridMultilevel"/>
    <w:tmpl w:val="FFFFFFFF"/>
    <w:styleLink w:val="Importovantl11"/>
    <w:lvl w:ilvl="0" w:tplc="B254BB7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4334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4157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64F9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42D3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AA0D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5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E163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67D3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8C66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1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BD2604"/>
    <w:multiLevelType w:val="hybridMultilevel"/>
    <w:tmpl w:val="FFFFFFFF"/>
    <w:numStyleLink w:val="Importovantl5"/>
  </w:abstractNum>
  <w:abstractNum w:abstractNumId="11" w15:restartNumberingAfterBreak="0">
    <w:nsid w:val="68D633A0"/>
    <w:multiLevelType w:val="hybridMultilevel"/>
    <w:tmpl w:val="FFFFFFFF"/>
    <w:numStyleLink w:val="Importovantl1"/>
  </w:abstractNum>
  <w:abstractNum w:abstractNumId="12" w15:restartNumberingAfterBreak="0">
    <w:nsid w:val="68DD2D5C"/>
    <w:multiLevelType w:val="hybridMultilevel"/>
    <w:tmpl w:val="FFFFFFFF"/>
    <w:numStyleLink w:val="Importovantl4"/>
  </w:abstractNum>
  <w:abstractNum w:abstractNumId="13" w15:restartNumberingAfterBreak="0">
    <w:nsid w:val="74426020"/>
    <w:multiLevelType w:val="hybridMultilevel"/>
    <w:tmpl w:val="FFFFFFFF"/>
    <w:numStyleLink w:val="Importovantl2"/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3"/>
    <w:lvlOverride w:ilvl="0">
      <w:startOverride w:val="1"/>
      <w:lvl w:ilvl="0" w:tplc="C7A8FB8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688D2A">
        <w:start w:val="1"/>
        <w:numFmt w:val="decimal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2A5D7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0240F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1CAD7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3C73E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46C8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F6A45A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24AC1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8"/>
    <w:lvlOverride w:ilvl="0">
      <w:lvl w:ilvl="0" w:tplc="99283E2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FA0A0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5C894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0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E6A8527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F872F42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8230D00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50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48FC556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1176431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A5FA0BA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10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17">
    <w:abstractNumId w:val="6"/>
    <w:lvlOverride w:ilvl="0">
      <w:lvl w:ilvl="0" w:tplc="C3BEFB4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FAFE32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789354">
        <w:start w:val="1"/>
        <w:numFmt w:val="bullet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506F3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0A577C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F43632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CE995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98862C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34B65C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revisionView w:formatting="0"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B"/>
    <w:rsid w:val="00AE31E1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7BD763-0F36-9944-ADE0-AACD038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Arial" w:eastAsia="Arial" w:hAnsi="Arial" w:cs="Arial"/>
      <w:i/>
      <w:iCs/>
      <w:outline w:val="0"/>
      <w:color w:val="000000"/>
      <w:u w:val="none" w:color="000000"/>
      <w:shd w:val="clear" w:color="auto" w:fill="FFFFFF"/>
      <w:lang w:val="it-IT"/>
    </w:rPr>
  </w:style>
  <w:style w:type="numbering" w:customStyle="1" w:styleId="Importovantl3">
    <w:name w:val="Importovaný štýl 3"/>
    <w:pPr>
      <w:numPr>
        <w:numId w:val="6"/>
      </w:numPr>
    </w:pPr>
  </w:style>
  <w:style w:type="paragraph" w:customStyle="1" w:styleId="Predvolen">
    <w:name w:val="Predvolené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30">
    <w:name w:val="Importovaný štýl 3.0"/>
    <w:pPr>
      <w:numPr>
        <w:numId w:val="8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character" w:customStyle="1" w:styleId="Odkaz">
    <w:name w:val="Odkaz"/>
    <w:rPr>
      <w:u w:val="single"/>
    </w:rPr>
  </w:style>
  <w:style w:type="character" w:customStyle="1" w:styleId="Hyperlink1">
    <w:name w:val="Hyperlink.1"/>
    <w:basedOn w:val="Odkaz"/>
    <w:rPr>
      <w:outline w:val="0"/>
      <w:color w:val="0000FF"/>
      <w:sz w:val="16"/>
      <w:szCs w:val="16"/>
      <w:u w:val="single" w:color="0000FF"/>
    </w:rPr>
  </w:style>
  <w:style w:type="numbering" w:customStyle="1" w:styleId="Importovantl11">
    <w:name w:val="Importovaný štýl 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2/460/%23ustavnyclanok-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2000/40/" TargetMode="External"/><Relationship Id="rId1" Type="http://schemas.openxmlformats.org/officeDocument/2006/relationships/hyperlink" Target="https://www.ustavnysud.sk/documents/10182/42829548/Suhrn+stanovisk+Benatskej+komisie+k+nudzovemu+stavu_final.pdf/b5dca577-b19d-4d94-a005-0aaea881823d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3306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Dalibor MIĽAN</cp:lastModifiedBy>
  <cp:revision>2</cp:revision>
  <dcterms:created xsi:type="dcterms:W3CDTF">2021-10-29T15:38:00Z</dcterms:created>
  <dcterms:modified xsi:type="dcterms:W3CDTF">2021-10-29T15:38:00Z</dcterms:modified>
</cp:coreProperties>
</file>